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hd w:fill="FFFFFF" w:val="clear"/>
        <w:bidi w:val="0"/>
        <w:spacing w:before="240" w:after="0"/>
        <w:jc w:val="left"/>
        <w:rPr>
          <w:rFonts w:ascii="Baskerville" w:hAnsi="Baskerville"/>
        </w:rPr>
      </w:pPr>
      <w:r>
        <w:drawing>
          <wp:anchor behindDoc="0" distT="152400" distB="152400" distL="152400" distR="152400" simplePos="0" locked="0" layoutInCell="1" allowOverlap="1" relativeHeight="4">
            <wp:simplePos x="0" y="0"/>
            <wp:positionH relativeFrom="column">
              <wp:posOffset>-648335</wp:posOffset>
            </wp:positionH>
            <wp:positionV relativeFrom="paragraph">
              <wp:posOffset>-2111375</wp:posOffset>
            </wp:positionV>
            <wp:extent cx="1346200" cy="1673860"/>
            <wp:effectExtent l="0" t="0" r="0" b="0"/>
            <wp:wrapTight wrapText="bothSides">
              <wp:wrapPolygon edited="0">
                <wp:start x="-18" y="0"/>
                <wp:lineTo x="-18" y="21583"/>
                <wp:lineTo x="21600" y="21583"/>
                <wp:lineTo x="21600" y="0"/>
                <wp:lineTo x="-18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 Unicode MS" w:ascii="Baskerville" w:hAnsi="Baskerville"/>
          <w:position w:val="-1"/>
        </w:rPr>
        <w:t>P</w:t>
      </w:r>
      <w:r>
        <w:rPr>
          <w:rFonts w:eastAsia="Arial Unicode MS" w:cs="Arial Unicode MS" w:ascii="Baskerville" w:hAnsi="Baskerville"/>
          <w:position w:val="-1"/>
        </w:rPr>
        <w:t>rogram D</w:t>
      </w:r>
      <w:r>
        <w:rPr>
          <w:rFonts w:eastAsia="Arial Unicode MS" w:cs="Arial Unicode MS" w:ascii="Baskerville" w:hAnsi="Baskerville"/>
        </w:rPr>
        <w:t>ňa otvorených kláštorov</w:t>
      </w:r>
    </w:p>
    <w:p>
      <w:pPr>
        <w:pStyle w:val="Nadpis2"/>
        <w:shd w:fill="FFFFFF" w:val="clear"/>
        <w:bidi w:val="0"/>
        <w:jc w:val="left"/>
        <w:rPr>
          <w:rFonts w:ascii="Baskerville" w:hAnsi="Baskerville"/>
        </w:rPr>
      </w:pPr>
      <w:r>
        <w:rPr>
          <w:rFonts w:eastAsia="Arial Unicode MS" w:cs="Arial Unicode MS" w:ascii="Baskerville" w:hAnsi="Baskerville"/>
        </w:rPr>
        <w:t>27. jún 2015</w:t>
      </w:r>
    </w:p>
    <w:p>
      <w:pPr>
        <w:pStyle w:val="Body"/>
        <w:shd w:fill="FFFFFF" w:val="clear"/>
        <w:spacing w:before="200" w:after="240"/>
        <w:rPr>
          <w:rFonts w:ascii="Baskerville" w:hAnsi="Baskerville"/>
        </w:rPr>
      </w:pPr>
      <w:r>
        <w:rPr>
          <w:rFonts w:ascii="Baskerville" w:hAnsi="Baskerville"/>
        </w:rPr>
        <w:t xml:space="preserve">Pozývame všetkých záujemcov, ktorí by chceli nahliadnuť do priestorov Samporského kláštora a dozvedieť sa viac o mníšskom živote, v rámci </w:t>
      </w:r>
      <w:r>
        <w:rPr>
          <w:rFonts w:ascii="Baskerville" w:hAnsi="Baskerville"/>
          <w:i/>
          <w:iCs/>
        </w:rPr>
        <w:t>Dňa otvorených kláštorov</w:t>
      </w:r>
      <w:r>
        <w:rPr>
          <w:rFonts w:ascii="Baskerville" w:hAnsi="Baskerville"/>
        </w:rPr>
        <w:t xml:space="preserve">, do Kláštora Premenenia Pána v sobotu, 27. júna 2015, od 9.00 do 17.30 hod. V tomto čase bude v priestoroch kláštora sprístupnená </w:t>
      </w:r>
      <w:r>
        <w:rPr>
          <w:rFonts w:ascii="Baskerville" w:hAnsi="Baskerville"/>
          <w:i/>
          <w:iCs/>
        </w:rPr>
        <w:t>výstava fotografi</w:t>
      </w:r>
      <w:r>
        <w:rPr>
          <w:rFonts w:ascii="Baskerville" w:hAnsi="Baskerville"/>
        </w:rPr>
        <w:t xml:space="preserve">í z nášho života a možnosť pozrieť si krátky </w:t>
      </w:r>
      <w:r>
        <w:rPr>
          <w:rFonts w:ascii="Baskerville" w:hAnsi="Baskerville"/>
          <w:i/>
          <w:iCs/>
        </w:rPr>
        <w:t>filmový dokument</w:t>
      </w:r>
      <w:r>
        <w:rPr>
          <w:rFonts w:ascii="Baskerville" w:hAnsi="Baskerville"/>
        </w:rPr>
        <w:t xml:space="preserve"> o obnove mníšskeho života. Hostia kláštora budú mať možnosť </w:t>
      </w:r>
      <w:r>
        <w:rPr>
          <w:rFonts w:ascii="Baskerville" w:hAnsi="Baskerville"/>
          <w:i/>
          <w:iCs/>
        </w:rPr>
        <w:t>osobne sa porozprávať</w:t>
      </w:r>
      <w:r>
        <w:rPr>
          <w:rFonts w:ascii="Baskerville" w:hAnsi="Baskerville"/>
        </w:rPr>
        <w:t xml:space="preserve"> s mníchmi o ich živote i povolaní a tiež si pozrieť </w:t>
      </w:r>
      <w:r>
        <w:rPr>
          <w:rFonts w:ascii="Baskerville" w:hAnsi="Baskerville"/>
          <w:i/>
          <w:iCs/>
        </w:rPr>
        <w:t>okolie kláštora</w:t>
      </w:r>
      <w:r>
        <w:rPr>
          <w:rFonts w:ascii="Baskerville" w:hAnsi="Baskerville"/>
        </w:rPr>
        <w:t xml:space="preserve"> a dozvedieť sa viac o stále prebiehajúcej </w:t>
      </w:r>
      <w:r>
        <w:rPr>
          <w:rFonts w:ascii="Baskerville" w:hAnsi="Baskerville"/>
          <w:i/>
          <w:iCs/>
        </w:rPr>
        <w:t>výstavbe</w:t>
      </w:r>
      <w:r>
        <w:rPr>
          <w:rFonts w:ascii="Baskerville" w:hAnsi="Baskerville"/>
        </w:rPr>
        <w:t xml:space="preserve"> kláštora. Vo zvyčajných časoch sa tiež môžu zúčastniť na spoločných </w:t>
      </w:r>
      <w:r>
        <w:rPr>
          <w:rFonts w:ascii="Baskerville" w:hAnsi="Baskerville"/>
          <w:i/>
          <w:iCs/>
        </w:rPr>
        <w:t>liturgických modlitbách</w:t>
      </w:r>
      <w:r>
        <w:rPr>
          <w:rFonts w:ascii="Baskerville" w:hAnsi="Baskerville"/>
        </w:rPr>
        <w:t>:</w:t>
      </w:r>
    </w:p>
    <w:p>
      <w:pPr>
        <w:pStyle w:val="Body"/>
        <w:numPr>
          <w:ilvl w:val="0"/>
          <w:numId w:val="1"/>
        </w:numPr>
        <w:shd w:fill="FFFFFF" w:val="clear"/>
        <w:bidi w:val="0"/>
        <w:ind w:left="180" w:right="0" w:hanging="180"/>
        <w:jc w:val="left"/>
        <w:rPr>
          <w:rFonts w:ascii="Baskerville" w:hAnsi="Baskerville" w:eastAsia="Baskerville" w:cs="Baskerville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position w:val="0"/>
          <w:sz w:val="24"/>
          <w:sz w:val="24"/>
          <w:szCs w:val="24"/>
          <w:u w:val="none" w:color="00000A"/>
          <w:vertAlign w:val="baseline"/>
        </w:rPr>
      </w:pPr>
      <w:r>
        <w:rPr>
          <w:rFonts w:eastAsia="Arial Unicode MS" w:cs="Arial Unicode MS" w:ascii="Baskerville" w:hAnsi="Baskerville"/>
          <w:position w:val="-1"/>
        </w:rPr>
        <w:t>12.20</w:t>
      </w:r>
      <w:r>
        <w:rPr>
          <w:rFonts w:eastAsia="Arial Unicode MS" w:cs="Arial Unicode MS" w:ascii="Baskerville" w:hAnsi="Baskerville"/>
        </w:rPr>
        <w:t>—13.00: Posvätné čítanie</w:t>
      </w:r>
    </w:p>
    <w:p>
      <w:pPr>
        <w:pStyle w:val="Body"/>
        <w:numPr>
          <w:ilvl w:val="0"/>
          <w:numId w:val="2"/>
        </w:numPr>
        <w:shd w:fill="FFFFFF" w:val="clear"/>
        <w:bidi w:val="0"/>
        <w:ind w:left="180" w:right="0" w:hanging="180"/>
        <w:jc w:val="left"/>
        <w:rPr>
          <w:rFonts w:ascii="Baskerville" w:hAnsi="Baskerville" w:eastAsia="Baskerville" w:cs="Baskerville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position w:val="0"/>
          <w:sz w:val="24"/>
          <w:sz w:val="24"/>
          <w:szCs w:val="24"/>
          <w:u w:val="none" w:color="00000A"/>
          <w:vertAlign w:val="baseline"/>
        </w:rPr>
      </w:pPr>
      <w:r>
        <w:rPr>
          <w:rFonts w:eastAsia="Arial Unicode MS" w:cs="Arial Unicode MS" w:ascii="Baskerville" w:hAnsi="Baskerville"/>
          <w:position w:val="-1"/>
        </w:rPr>
        <w:t>14.30</w:t>
      </w:r>
      <w:r>
        <w:rPr>
          <w:rFonts w:eastAsia="Arial Unicode MS" w:cs="Arial Unicode MS" w:ascii="Baskerville" w:hAnsi="Baskerville"/>
        </w:rPr>
        <w:t>—14.40: Modlitba cez deň</w:t>
      </w:r>
    </w:p>
    <w:p>
      <w:pPr>
        <w:pStyle w:val="Body"/>
        <w:numPr>
          <w:ilvl w:val="0"/>
          <w:numId w:val="3"/>
        </w:numPr>
        <w:shd w:fill="FFFFFF" w:val="clear"/>
        <w:bidi w:val="0"/>
        <w:spacing w:before="0" w:after="240"/>
        <w:ind w:left="180" w:right="0" w:hanging="180"/>
        <w:jc w:val="left"/>
        <w:rPr>
          <w:rFonts w:ascii="Baskerville" w:hAnsi="Baskerville"/>
        </w:rPr>
      </w:pPr>
      <w:r>
        <w:rPr>
          <w:rFonts w:eastAsia="Arial Unicode MS" w:cs="Arial Unicode MS" w:ascii="Baskerville" w:hAnsi="Baskerville"/>
          <w:position w:val="-1"/>
        </w:rPr>
        <w:t>17.00</w:t>
      </w:r>
      <w:r>
        <w:rPr>
          <w:rFonts w:eastAsia="Arial Unicode MS" w:cs="Arial Unicode MS" w:ascii="Baskerville" w:hAnsi="Baskerville"/>
        </w:rPr>
        <w:t>—17.30: Vešpery (v latinskom jazyku s gregoriánskymi spevmi)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2551" w:right="2551" w:header="1134" w:top="4932" w:footer="709" w:bottom="2268" w:gutter="0"/>
      <w:pgNumType w:fmt="decimal"/>
      <w:formProt w:val="false"/>
      <w:titlePg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askerville">
    <w:charset w:val="01"/>
    <w:family w:val="swiss"/>
    <w:pitch w:val="variable"/>
  </w:font>
  <w:font w:name="Baskervil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bidi w:val="0"/>
      <w:jc w:val="left"/>
      <w:rPr/>
    </w:pPr>
    <w:r>
      <w:rPr>
        <w:rtl w:val="tru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rPr>
        <w:rFonts w:ascii="Baskerville" w:hAnsi="Baskerville"/>
      </w:rPr>
    </w:pPr>
    <w:r>
      <w:rPr>
        <w:rFonts w:ascii="Baskerville" w:hAnsi="Baskerville"/>
        <w:caps w:val="false"/>
        <w:smallCaps w:val="false"/>
        <w:sz w:val="16"/>
        <w:szCs w:val="16"/>
        <w:lang w:val="en-US"/>
      </w:rPr>
      <w:t>Sampor 50 -</w:t>
    </w:r>
    <w:r>
      <w:rPr>
        <w:rFonts w:ascii="Baskerville" w:hAnsi="Baskerville"/>
        <w:caps w:val="false"/>
        <w:smallCaps w:val="false"/>
        <w:sz w:val="16"/>
        <w:szCs w:val="16"/>
      </w:rPr>
      <w:t xml:space="preserve"> 962 31 Sliač - +421 (0) 903 982 470 - +421 (0) 915 800 124</w:t>
    </w:r>
  </w:p>
  <w:p>
    <w:pPr>
      <w:pStyle w:val="HeaderFooter"/>
      <w:shd w:fill="FFFFFF" w:val="clear"/>
      <w:rPr>
        <w:rFonts w:ascii="Baskerville" w:hAnsi="Baskerville"/>
      </w:rPr>
    </w:pPr>
    <w:r>
      <w:rPr>
        <w:rFonts w:ascii="Baskerville" w:hAnsi="Baskerville"/>
        <w:caps w:val="false"/>
        <w:smallCaps w:val="false"/>
        <w:sz w:val="16"/>
        <w:szCs w:val="16"/>
      </w:rPr>
      <w:t>www.benediktini.sk - benediktini@benediktini.sk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tabs>
        <w:tab w:val="right" w:pos="10483" w:leader="none"/>
      </w:tabs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09925" cy="1270"/>
              <wp:effectExtent l="0" t="0" r="0" b="0"/>
              <wp:wrapNone/>
              <wp:docPr id="2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4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444444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306pt,90pt" to="558.65pt,90pt" ID="officeArt object" stroked="t" style="position:absolute;mso-position-horizontal-relative:page;mso-position-vertical-relative:page">
              <v:stroke color="#444444" weight="3240" joinstyle="miter" endcap="flat"/>
              <v:fill on="false" o:detectmouseclick="t"/>
            </v:line>
          </w:pict>
        </mc:Fallback>
      </mc:AlternateContent>
    </w:r>
    <w:r>
      <w:rPr>
        <w:rFonts w:ascii="Baskerville" w:hAnsi="Baskerville"/>
        <w:caps w:val="false"/>
        <w:smallCaps w:val="false"/>
        <w:sz w:val="16"/>
        <w:szCs w:val="16"/>
      </w:rPr>
      <w:t>Strana</w:t>
    </w:r>
    <w:r>
      <w:rPr>
        <w:rFonts w:ascii="Baskerville" w:hAnsi="Baskerville"/>
        <w:sz w:val="16"/>
        <w:szCs w:val="16"/>
      </w:rPr>
      <w:t xml:space="preserve"> </w:t>
    </w:r>
    <w:r>
      <w:rPr>
        <w:rFonts w:eastAsia="Baskerville" w:cs="Baskerville" w:ascii="Baskerville" w:hAnsi="Baskerville"/>
        <w:sz w:val="16"/>
        <w:szCs w:val="16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ascii="Baskerville" w:hAnsi="Baskerville"/>
        <w:sz w:val="16"/>
        <w:szCs w:val="16"/>
      </w:rPr>
      <w:t>/</w:t>
    </w:r>
    <w:r>
      <w:rPr>
        <w:rFonts w:eastAsia="Baskerville" w:cs="Baskerville" w:ascii="Baskerville" w:hAnsi="Baskerville"/>
        <w:sz w:val="16"/>
        <w:szCs w:val="16"/>
        <w:rtl w:val="true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>
      <w:rPr>
        <w:rFonts w:eastAsia="Baskerville" w:cs="Baskerville" w:ascii="Baskerville" w:hAnsi="Baskerville"/>
        <w:sz w:val="16"/>
        <w:szCs w:val="16"/>
        <w:rtl w:val="true"/>
      </w:rPr>
      <w:tab/>
    </w:r>
    <w:r>
      <w:rPr>
        <w:rFonts w:eastAsia="Baskerville" w:cs="Baskerville" w:ascii="Baskerville" w:hAnsi="Baskerville"/>
        <w:sz w:val="16"/>
        <w:szCs w:val="16"/>
      </w:rPr>
      <w:t>Mn</w:t>
    </w:r>
    <w:r>
      <w:rPr>
        <w:sz w:val="16"/>
        <w:szCs w:val="16"/>
      </w:rPr>
      <w:t>í</w:t>
    </w:r>
    <w:r>
      <w:rPr>
        <w:rFonts w:ascii="Baskerville" w:hAnsi="Baskerville"/>
        <w:sz w:val="16"/>
        <w:szCs w:val="16"/>
      </w:rPr>
      <w:t>si z rehole sv</w:t>
    </w:r>
    <w:r>
      <w:rPr>
        <w:sz w:val="16"/>
        <w:szCs w:val="16"/>
      </w:rPr>
      <w:t>ä</w:t>
    </w:r>
    <w:r>
      <w:rPr>
        <w:rFonts w:ascii="Baskerville" w:hAnsi="Baskerville"/>
        <w:sz w:val="16"/>
        <w:szCs w:val="16"/>
      </w:rPr>
      <w:t>t</w:t>
    </w:r>
    <w:r>
      <w:rPr>
        <w:sz w:val="16"/>
        <w:szCs w:val="16"/>
      </w:rPr>
      <w:t>é</w:t>
    </w:r>
    <w:r>
      <w:rPr>
        <w:rFonts w:ascii="Baskerville" w:hAnsi="Baskerville"/>
        <w:sz w:val="16"/>
        <w:szCs w:val="16"/>
      </w:rPr>
      <w:t>ho Benedikta</w:t>
    </w:r>
  </w:p>
  <w:p>
    <w:pPr>
      <w:pStyle w:val="Name"/>
      <w:shd w:fill="FFFFFF" w:val="clear"/>
      <w:jc w:val="right"/>
      <w:rPr/>
    </w:pPr>
    <w:r>
      <w:rPr>
        <w:rtl w:val="true"/>
      </w:rPr>
      <w:tab/>
    </w:r>
    <w:r>
      <w:rPr/>
      <w:t>Kláštor Premenenia Pána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jc w:val="right"/>
      <w:rPr>
        <w:rFonts w:ascii="Baskerville" w:hAnsi="Baskerville" w:eastAsia="Baskerville" w:cs="Baskerville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3886200</wp:posOffset>
              </wp:positionH>
              <wp:positionV relativeFrom="page">
                <wp:posOffset>1143000</wp:posOffset>
              </wp:positionV>
              <wp:extent cx="3209925" cy="1270"/>
              <wp:effectExtent l="0" t="0" r="0" b="0"/>
              <wp:wrapNone/>
              <wp:docPr id="3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4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444444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306pt,90pt" to="558.65pt,90pt" ID="officeArt object" stroked="t" style="position:absolute;mso-position-horizontal-relative:page;mso-position-vertical-relative:page">
              <v:stroke color="#444444" weight="3240" joinstyle="miter" endcap="flat"/>
              <v:fill on="false" o:detectmouseclick="t"/>
            </v:line>
          </w:pict>
        </mc:Fallback>
      </mc:AlternateContent>
    </w:r>
    <w:r>
      <w:rPr>
        <w:rFonts w:ascii="Baskerville" w:hAnsi="Baskerville"/>
        <w:sz w:val="16"/>
        <w:szCs w:val="16"/>
      </w:rPr>
      <w:t>Mn</w:t>
    </w:r>
    <w:r>
      <w:rPr>
        <w:sz w:val="16"/>
        <w:szCs w:val="16"/>
      </w:rPr>
      <w:t>í</w:t>
    </w:r>
    <w:r>
      <w:rPr>
        <w:rFonts w:ascii="Baskerville" w:hAnsi="Baskerville"/>
        <w:sz w:val="16"/>
        <w:szCs w:val="16"/>
      </w:rPr>
      <w:t>si z rehole sv</w:t>
    </w:r>
    <w:r>
      <w:rPr>
        <w:sz w:val="16"/>
        <w:szCs w:val="16"/>
      </w:rPr>
      <w:t>ä</w:t>
    </w:r>
    <w:r>
      <w:rPr>
        <w:rFonts w:ascii="Baskerville" w:hAnsi="Baskerville"/>
        <w:sz w:val="16"/>
        <w:szCs w:val="16"/>
      </w:rPr>
      <w:t>t</w:t>
    </w:r>
    <w:r>
      <w:rPr>
        <w:sz w:val="16"/>
        <w:szCs w:val="16"/>
      </w:rPr>
      <w:t>é</w:t>
    </w:r>
    <w:r>
      <w:rPr>
        <w:rFonts w:ascii="Baskerville" w:hAnsi="Baskerville"/>
        <w:sz w:val="16"/>
        <w:szCs w:val="16"/>
      </w:rPr>
      <w:t>ho Benedikta</w:t>
    </w:r>
  </w:p>
  <w:p>
    <w:pPr>
      <w:pStyle w:val="Name"/>
      <w:shd w:fill="FFFFFF" w:val="clear"/>
      <w:jc w:val="right"/>
      <w:rPr/>
    </w:pPr>
    <w:r>
      <w:rPr/>
      <w:tab/>
      <w:t>Kláštor Premenenia Pána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18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1">
      <w:start w:val="1"/>
      <w:numFmt w:val="bullet"/>
      <w:lvlText w:val="•"/>
      <w:lvlJc w:val="left"/>
      <w:pPr>
        <w:ind w:left="54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2">
      <w:start w:val="1"/>
      <w:numFmt w:val="bullet"/>
      <w:lvlText w:val="•"/>
      <w:lvlJc w:val="left"/>
      <w:pPr>
        <w:ind w:left="90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3">
      <w:start w:val="1"/>
      <w:numFmt w:val="bullet"/>
      <w:lvlText w:val="•"/>
      <w:lvlJc w:val="left"/>
      <w:pPr>
        <w:ind w:left="126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4">
      <w:start w:val="1"/>
      <w:numFmt w:val="bullet"/>
      <w:lvlText w:val="•"/>
      <w:lvlJc w:val="left"/>
      <w:pPr>
        <w:ind w:left="162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5">
      <w:start w:val="1"/>
      <w:numFmt w:val="bullet"/>
      <w:lvlText w:val="•"/>
      <w:lvlJc w:val="left"/>
      <w:pPr>
        <w:ind w:left="198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6">
      <w:start w:val="1"/>
      <w:numFmt w:val="bullet"/>
      <w:lvlText w:val="•"/>
      <w:lvlJc w:val="left"/>
      <w:pPr>
        <w:ind w:left="234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7">
      <w:start w:val="1"/>
      <w:numFmt w:val="bullet"/>
      <w:lvlText w:val="•"/>
      <w:lvlJc w:val="left"/>
      <w:pPr>
        <w:ind w:left="270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8">
      <w:start w:val="1"/>
      <w:numFmt w:val="bullet"/>
      <w:lvlText w:val="•"/>
      <w:lvlJc w:val="left"/>
      <w:pPr>
        <w:ind w:left="306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</w:abstractNum>
  <w:abstractNum w:abstractNumId="2">
    <w:lvl w:ilvl="0">
      <w:numFmt w:val="bullet"/>
      <w:lvlText w:val="•"/>
      <w:lvlJc w:val="left"/>
      <w:pPr>
        <w:ind w:left="18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1">
      <w:start w:val="1"/>
      <w:numFmt w:val="bullet"/>
      <w:lvlText w:val="•"/>
      <w:lvlJc w:val="left"/>
      <w:pPr>
        <w:ind w:left="54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2">
      <w:start w:val="1"/>
      <w:numFmt w:val="bullet"/>
      <w:lvlText w:val="•"/>
      <w:lvlJc w:val="left"/>
      <w:pPr>
        <w:ind w:left="90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3">
      <w:start w:val="1"/>
      <w:numFmt w:val="bullet"/>
      <w:lvlText w:val="•"/>
      <w:lvlJc w:val="left"/>
      <w:pPr>
        <w:ind w:left="126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4">
      <w:start w:val="1"/>
      <w:numFmt w:val="bullet"/>
      <w:lvlText w:val="•"/>
      <w:lvlJc w:val="left"/>
      <w:pPr>
        <w:ind w:left="162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5">
      <w:start w:val="1"/>
      <w:numFmt w:val="bullet"/>
      <w:lvlText w:val="•"/>
      <w:lvlJc w:val="left"/>
      <w:pPr>
        <w:ind w:left="198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6">
      <w:start w:val="1"/>
      <w:numFmt w:val="bullet"/>
      <w:lvlText w:val="•"/>
      <w:lvlJc w:val="left"/>
      <w:pPr>
        <w:ind w:left="234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7">
      <w:start w:val="1"/>
      <w:numFmt w:val="bullet"/>
      <w:lvlText w:val="•"/>
      <w:lvlJc w:val="left"/>
      <w:pPr>
        <w:ind w:left="270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8">
      <w:start w:val="1"/>
      <w:numFmt w:val="bullet"/>
      <w:lvlText w:val="•"/>
      <w:lvlJc w:val="left"/>
      <w:pPr>
        <w:ind w:left="306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</w:abstractNum>
  <w:abstractNum w:abstractNumId="3">
    <w:lvl w:ilvl="0">
      <w:numFmt w:val="bullet"/>
      <w:lvlText w:val="•"/>
      <w:lvlJc w:val="left"/>
      <w:pPr>
        <w:ind w:left="18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1">
      <w:start w:val="1"/>
      <w:numFmt w:val="bullet"/>
      <w:lvlText w:val="•"/>
      <w:lvlJc w:val="left"/>
      <w:pPr>
        <w:ind w:left="54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2">
      <w:start w:val="1"/>
      <w:numFmt w:val="bullet"/>
      <w:lvlText w:val="•"/>
      <w:lvlJc w:val="left"/>
      <w:pPr>
        <w:ind w:left="90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3">
      <w:start w:val="1"/>
      <w:numFmt w:val="bullet"/>
      <w:lvlText w:val="•"/>
      <w:lvlJc w:val="left"/>
      <w:pPr>
        <w:ind w:left="126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4">
      <w:start w:val="1"/>
      <w:numFmt w:val="bullet"/>
      <w:lvlText w:val="•"/>
      <w:lvlJc w:val="left"/>
      <w:pPr>
        <w:ind w:left="162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5">
      <w:start w:val="1"/>
      <w:numFmt w:val="bullet"/>
      <w:lvlText w:val="•"/>
      <w:lvlJc w:val="left"/>
      <w:pPr>
        <w:ind w:left="198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6">
      <w:start w:val="1"/>
      <w:numFmt w:val="bullet"/>
      <w:lvlText w:val="•"/>
      <w:lvlJc w:val="left"/>
      <w:pPr>
        <w:ind w:left="234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7">
      <w:start w:val="1"/>
      <w:numFmt w:val="bullet"/>
      <w:lvlText w:val="•"/>
      <w:lvlJc w:val="left"/>
      <w:pPr>
        <w:ind w:left="270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  <w:lvl w:ilvl="8">
      <w:start w:val="1"/>
      <w:numFmt w:val="bullet"/>
      <w:lvlText w:val="•"/>
      <w:lvlJc w:val="left"/>
      <w:pPr>
        <w:ind w:left="3060" w:hanging="180"/>
      </w:pPr>
      <w:rPr>
        <w:rFonts w:ascii="Baskerville" w:hAnsi="Baskerville" w:cs="Baskervill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A"/>
        <w:b w:val="false"/>
        <w:szCs w:val="24"/>
        <w:iCs w:val="false"/>
        <w:bCs w:val="false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sk-SK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Nadpis1">
    <w:name w:val="Nadpis 1"/>
    <w:basedOn w:val="Nadpis"/>
    <w:next w:val="Body"/>
    <w:pPr>
      <w:keepNext/>
      <w:keepLines w:val="false"/>
      <w:pageBreakBefore w:val="false"/>
      <w:widowControl/>
      <w:shd w:val="clear" w:color="auto" w:fill="auto"/>
      <w:tabs>
        <w:tab w:val="right" w:pos="1260" w:leader="none"/>
        <w:tab w:val="left" w:pos="2160" w:leader="none"/>
      </w:tabs>
      <w:suppressAutoHyphens w:val="false"/>
      <w:bidi w:val="0"/>
      <w:spacing w:lineRule="auto" w:line="240" w:before="240" w:after="0"/>
      <w:ind w:left="2160" w:right="0" w:hanging="2160"/>
      <w:jc w:val="left"/>
      <w:outlineLvl w:val="0"/>
    </w:pPr>
    <w:rPr>
      <w:rFonts w:ascii="Baskerville" w:hAnsi="Baskerville" w:eastAsia="Arial Unicode MS" w:cs="Arial Unicode MS"/>
      <w:b w:val="false"/>
      <w:bCs w:val="false"/>
      <w:i w:val="false"/>
      <w:iCs w:val="false"/>
      <w:caps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A"/>
      <w:vertAlign w:val="baseline"/>
    </w:rPr>
  </w:style>
  <w:style w:type="paragraph" w:styleId="Nadpis2">
    <w:name w:val="Nadpis 2"/>
    <w:basedOn w:val="Nadpis"/>
    <w:next w:val="Body"/>
    <w:pPr>
      <w:keepNext/>
      <w:keepLines w:val="false"/>
      <w:pageBreakBefore w:val="false"/>
      <w:widowControl/>
      <w:shd w:val="clear" w:color="auto" w:fill="auto"/>
      <w:tabs>
        <w:tab w:val="right" w:pos="6798" w:leader="none"/>
      </w:tabs>
      <w:suppressAutoHyphens w:val="false"/>
      <w:bidi w:val="0"/>
      <w:spacing w:lineRule="auto" w:line="240" w:before="0" w:after="0"/>
      <w:ind w:left="0" w:right="0" w:hanging="0"/>
      <w:jc w:val="left"/>
      <w:outlineLvl w:val="1"/>
    </w:pPr>
    <w:rPr>
      <w:rFonts w:ascii="Baskerville" w:hAnsi="Baskerville" w:eastAsia="Arial Unicode MS" w:cs="Arial Unicode MS"/>
      <w:b w:val="false"/>
      <w:bCs w:val="false"/>
      <w:i/>
      <w:iCs/>
      <w:caps w:val="false"/>
      <w:smallCaps w:val="false"/>
      <w:strike w:val="false"/>
      <w:dstrike w:val="false"/>
      <w:outline w:val="false"/>
      <w:color w:val="000000"/>
      <w:spacing w:val="0"/>
      <w:position w:val="0"/>
      <w:sz w:val="26"/>
      <w:sz w:val="26"/>
      <w:szCs w:val="26"/>
      <w:u w:val="none" w:color="00000A"/>
      <w:vertAlign w:val="baseline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character" w:styleId="ListLabel1">
    <w:name w:val="ListLabel 1"/>
    <w:qFormat/>
    <w:rPr>
      <w:rFonts w:ascii="Baskerville" w:hAnsi="Baskerville" w:eastAsia="Baskerville" w:cs="Baskervill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A"/>
      <w:vertAlign w:val="baselin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/>
  </w:style>
  <w:style w:type="paragraph" w:styleId="Popis">
    <w:name w:val="Po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Footer">
    <w:name w:val="Header &amp; Footer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center"/>
    </w:pPr>
    <w:rPr>
      <w:rFonts w:ascii="Arial Narrow" w:hAnsi="Arial Narrow" w:eastAsia="Arial Unicode MS" w:cs="Arial Unicode MS"/>
      <w:b w:val="false"/>
      <w:bCs w:val="false"/>
      <w:i w:val="false"/>
      <w:iCs w:val="false"/>
      <w:caps/>
      <w:strike w:val="false"/>
      <w:dstrike w:val="false"/>
      <w:outline w:val="false"/>
      <w:emboss w:val="false"/>
      <w:imprint w:val="false"/>
      <w:vanish w:val="false"/>
      <w:color w:val="434343"/>
      <w:spacing w:val="0"/>
      <w:w w:val="100"/>
      <w:position w:val="0"/>
      <w:sz w:val="14"/>
      <w:sz w:val="14"/>
      <w:szCs w:val="14"/>
      <w:u w:val="none" w:color="00000A"/>
      <w:vertAlign w:val="baseline"/>
      <w:lang w:val="sk-SK" w:eastAsia="zh-CN" w:bidi="hi-IN"/>
    </w:rPr>
  </w:style>
  <w:style w:type="paragraph" w:styleId="Name">
    <w:name w:val="Name"/>
    <w:qFormat/>
    <w:pPr>
      <w:keepNext/>
      <w:keepLines w:val="false"/>
      <w:pageBreakBefore w:val="false"/>
      <w:widowControl/>
      <w:pBdr/>
      <w:shd w:val="clear" w:color="auto" w:fill="auto"/>
      <w:tabs>
        <w:tab w:val="center" w:pos="5241" w:leader="none"/>
        <w:tab w:val="right" w:pos="10483" w:leader="none"/>
      </w:tabs>
      <w:suppressAutoHyphens w:val="false"/>
      <w:bidi w:val="0"/>
      <w:spacing w:lineRule="auto" w:line="192" w:before="0" w:after="0"/>
      <w:ind w:left="0" w:right="0" w:hanging="0"/>
      <w:jc w:val="left"/>
    </w:pPr>
    <w:rPr>
      <w:rFonts w:ascii="Baskerville" w:hAnsi="Baskerville" w:eastAsia="Baskerville" w:cs="Baskerville"/>
      <w:b w:val="false"/>
      <w:bCs w:val="false"/>
      <w:i w:val="false"/>
      <w:iCs w:val="false"/>
      <w:caps/>
      <w:strike w:val="false"/>
      <w:dstrike w:val="false"/>
      <w:outline w:val="false"/>
      <w:emboss w:val="false"/>
      <w:imprint w:val="false"/>
      <w:vanish w:val="false"/>
      <w:color w:val="434343"/>
      <w:spacing w:val="0"/>
      <w:w w:val="100"/>
      <w:position w:val="0"/>
      <w:sz w:val="28"/>
      <w:sz w:val="28"/>
      <w:szCs w:val="28"/>
      <w:u w:val="none" w:color="00000A"/>
      <w:vertAlign w:val="baseline"/>
      <w:lang w:val="sk-SK" w:eastAsia="zh-CN" w:bidi="hi-IN"/>
    </w:rPr>
  </w:style>
  <w:style w:type="paragraph" w:styleId="Body">
    <w:name w:val="Body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240"/>
      <w:ind w:left="0" w:right="0" w:hanging="0"/>
      <w:jc w:val="left"/>
    </w:pPr>
    <w:rPr>
      <w:rFonts w:ascii="Baskerville" w:hAnsi="Baskerville" w:eastAsia="Baskerville" w:cs="Baskervill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sk-SK" w:eastAsia="zh-CN" w:bidi="hi-IN"/>
    </w:rPr>
  </w:style>
  <w:style w:type="paragraph" w:styleId="Hlavika">
    <w:name w:val="Hlavička"/>
    <w:basedOn w:val="Normal"/>
    <w:pPr/>
    <w:rPr/>
  </w:style>
  <w:style w:type="paragraph" w:styleId="Pta">
    <w:name w:val="Päta"/>
    <w:basedOn w:val="Normal"/>
    <w:pPr/>
    <w:rPr/>
  </w:style>
  <w:style w:type="numbering" w:styleId="NoList" w:default="1">
    <w:name w:val="No List"/>
  </w:style>
  <w:style w:type="numbering" w:styleId="Bullet">
    <w:name w:val="Bulle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askerville"/>
        <a:ea typeface="Baskerville"/>
        <a:cs typeface="Baskerville"/>
      </a:majorFont>
      <a:minorFont>
        <a:latin typeface="Arial Narrow"/>
        <a:ea typeface="Arial Narrow"/>
        <a:cs typeface="Arial Narro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LibreOffice/4.4.3.2$MacOSX_X86_64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sk-SK</dc:language>
  <dcterms:modified xsi:type="dcterms:W3CDTF">2015-06-08T11:37:08Z</dcterms:modified>
  <cp:revision>1</cp:revision>
</cp:coreProperties>
</file>